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Приложение №1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к постановлению Правительства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         Тюменской области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от «___»________2006г. №___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 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УТВЕРЖДЕНО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Председателем Национального антитеррористического комитета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Н.П.Патрушевым</w:t>
      </w:r>
    </w:p>
    <w:p w:rsidR="00C72A69" w:rsidRPr="00C72A69" w:rsidRDefault="00C72A69" w:rsidP="00C72A69">
      <w:pPr>
        <w:pStyle w:val="a3"/>
        <w:spacing w:after="0" w:afterAutospacing="0"/>
        <w:jc w:val="right"/>
        <w:rPr>
          <w:rFonts w:ascii="Constantia" w:hAnsi="Constantia"/>
        </w:rPr>
      </w:pPr>
      <w:r w:rsidRPr="00C72A69">
        <w:rPr>
          <w:rFonts w:ascii="Constantia" w:hAnsi="Constantia"/>
        </w:rPr>
        <w:t>7 июля 2006 года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  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 </w:t>
      </w:r>
    </w:p>
    <w:p w:rsidR="00C72A69" w:rsidRPr="00C72A69" w:rsidRDefault="00C72A69" w:rsidP="00C72A69">
      <w:pPr>
        <w:pStyle w:val="a3"/>
        <w:jc w:val="center"/>
        <w:rPr>
          <w:rFonts w:ascii="Constantia" w:hAnsi="Constantia"/>
        </w:rPr>
      </w:pPr>
      <w:r w:rsidRPr="00C72A69">
        <w:rPr>
          <w:rFonts w:ascii="Constantia" w:hAnsi="Constantia"/>
          <w:b/>
          <w:bCs/>
        </w:rPr>
        <w:t>ПОЛОЖЕНИЕ</w:t>
      </w:r>
    </w:p>
    <w:p w:rsidR="00C72A69" w:rsidRPr="00C72A69" w:rsidRDefault="00C72A69" w:rsidP="00C72A69">
      <w:pPr>
        <w:pStyle w:val="a3"/>
        <w:jc w:val="center"/>
        <w:rPr>
          <w:rFonts w:ascii="Constantia" w:hAnsi="Constantia"/>
        </w:rPr>
      </w:pPr>
      <w:r w:rsidRPr="00C72A69">
        <w:rPr>
          <w:rFonts w:ascii="Constantia" w:hAnsi="Constantia"/>
          <w:b/>
          <w:bCs/>
        </w:rPr>
        <w:t>об антитеррористической комиссии в субъекте Российской Федерации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 </w:t>
      </w:r>
      <w:r>
        <w:rPr>
          <w:rFonts w:ascii="Constantia" w:hAnsi="Constantia"/>
        </w:rPr>
        <w:t>1. </w:t>
      </w:r>
      <w:r w:rsidRPr="00C72A69">
        <w:rPr>
          <w:rFonts w:ascii="Constantia" w:hAnsi="Constantia"/>
        </w:rPr>
        <w:t>Антитеррористическая комиссия в субъекте Российской Федерации (далее - Комиссия) является органом, осуществляющим координацию деятельности на территории субъекта Российской Федерации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минимизации и ликвидации последствий его проявлений. Комиссия имеет сокращенное название - АТК.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Национального антитеррористического комитета, а также настоящим Положением.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3. Руководителем Комиссии в субъекте Российской Федерации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 xml:space="preserve">4. Комиссия осуществляет свою деятельность во взаимодействии с Национальным антитеррористическим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</w:t>
      </w:r>
      <w:r w:rsidRPr="00C72A69">
        <w:rPr>
          <w:rFonts w:ascii="Constantia" w:hAnsi="Constantia"/>
        </w:rPr>
        <w:lastRenderedPageBreak/>
        <w:t>власти субъекта Российской Федерации, органами местного самоуправления, организациями и общественными объединениями.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>
        <w:rPr>
          <w:rFonts w:ascii="Constantia" w:hAnsi="Constantia"/>
        </w:rPr>
        <w:t>5. </w:t>
      </w:r>
      <w:r w:rsidRPr="00C72A69">
        <w:rPr>
          <w:rFonts w:ascii="Constantia" w:hAnsi="Constantia"/>
        </w:rPr>
        <w:t>Состав Комиссии (по должностям) определен Указом Президента Российской Федерации от 16 февраля 2006 года №116 «О мерах по противодействию терроризму».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6. Основными задачами Комиссии являются: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а) 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б) участие в реализации на территории субъекта Российской Федерации государственной политики в области противодействия терроризму,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в) 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г) 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>
        <w:rPr>
          <w:rFonts w:ascii="Constantia" w:hAnsi="Constantia"/>
        </w:rPr>
        <w:t>д) </w:t>
      </w:r>
      <w:r w:rsidRPr="00C72A69">
        <w:rPr>
          <w:rFonts w:ascii="Constantia" w:hAnsi="Constantia"/>
        </w:rPr>
        <w:t>анализ эффективности работы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е) координация деятельности рабочих органов (антитеррористических комиссий), созданных при муниципальных образованиях субъекта Российской Федерации, для осуществления мероприятий по профилактике терроризма, минимизации и ликвидации последствий его проявлений;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ж) 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з) 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и)</w:t>
      </w:r>
      <w:r w:rsidRPr="00C72A69">
        <w:rPr>
          <w:rFonts w:ascii="Constantia" w:hAnsi="Constantia"/>
        </w:rPr>
        <w:t xml:space="preserve"> </w:t>
      </w:r>
      <w:r w:rsidRPr="00C72A69">
        <w:rPr>
          <w:rFonts w:ascii="Constantia" w:hAnsi="Constantia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7. Для осуществления своих задач Комиссия имеет право: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а) 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субъекта Российской  Федерации,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в) рекомендовать руководителям органов местного самоуправления субъекта Российской Федерации образование антитеррористических комиссий в муниципальных образованиях по профилактике терроризма, минимизации и ликвидации последствий его проявлений;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г)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д)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представителей организаций и общественных объединений (с их согласия);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е) 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8. Комиссия строит свою работу во взаимодействии с оперативным штабом в субъекте Российской Федерации, образованным в соответствии с Указом Президента Российской Федерации от 16 февраля 2006 г. № 116 «О мерах по противодействию терроризму».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9. Комиссия осуществляет свою деятельность на плановой основе в соответствии с регламентом, утверждаемым председателем Национального</w:t>
      </w:r>
      <w:r w:rsidRPr="00C72A69">
        <w:rPr>
          <w:rFonts w:ascii="Constantia" w:hAnsi="Constantia"/>
        </w:rPr>
        <w:t xml:space="preserve">  </w:t>
      </w:r>
      <w:r w:rsidRPr="00C72A69">
        <w:rPr>
          <w:rFonts w:ascii="Constantia" w:hAnsi="Constantia"/>
        </w:rPr>
        <w:t>антитеррористического комитета.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10. Комиссия информирует Национальный антитеррористический комитет по итогам своей деятельности за год.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lastRenderedPageBreak/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12. Присутствие членов Комиссии на е</w:t>
      </w:r>
      <w:r>
        <w:rPr>
          <w:rFonts w:ascii="Constantia" w:hAnsi="Constantia"/>
        </w:rPr>
        <w:t>ё</w:t>
      </w:r>
      <w:r w:rsidRPr="00C72A69">
        <w:rPr>
          <w:rFonts w:ascii="Constantia" w:hAnsi="Constantia"/>
        </w:rPr>
        <w:t xml:space="preserve"> заседаниях обязательно. Члены Комиссии не вправе делегировать свои полномочия иным лицам.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13. Заседание Комиссии считается правомочным, если на нем присутствует более половины его членов.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Члены Комиссии обладают равными правами при обсуждении рассматриваемых на заседании вопросов.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14. Решение Комиссии оформляется протоколом, который подписывается председателем Комиссии.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субъекта Российской Федерации.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16. Организационное и материально-техническое обеспечение деятельности Комиссии осуществляется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Для этих целей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 для организационного и материально-</w:t>
      </w:r>
      <w:r w:rsidRPr="00C72A69">
        <w:rPr>
          <w:rFonts w:ascii="Constantia" w:hAnsi="Constantia"/>
        </w:rPr>
        <w:lastRenderedPageBreak/>
        <w:t>технического обеспечения деятельности Комиссии, а также назначает должностное лицо (руководителя аппарата АТК), ответственного за организацию этой работы.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17. Основными задачами аппарата Комиссии являются: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а) разработка проекта плана работы Комиссии;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б) обеспечение подготовки и проведения заседаний Комиссии;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в) обеспечение деятельности Комиссии по контролю за исполнением ее решений;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г) получение и анализ информации об общественно-политических, социально-экономических и иных процессах в субъекте Российской Федерации,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д) обеспечение взаимодействия Комиссии с аппаратом Национального антитеррористического комитета;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е) организация и координация деятельности рабочих органов Комиссии;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ж) обеспечение деятельности Комиссии по координации и контролю работы антитеррористических комиссий муниципальных образований;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з) организация и ведение делопроизводства Комиссии.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которые участвуют в пределах своей компетенции в противодействии терроризму.</w:t>
      </w:r>
    </w:p>
    <w:p w:rsidR="00C72A69" w:rsidRPr="00C72A69" w:rsidRDefault="00C72A69" w:rsidP="00C72A69">
      <w:pPr>
        <w:pStyle w:val="a3"/>
        <w:jc w:val="both"/>
        <w:rPr>
          <w:rFonts w:ascii="Constantia" w:hAnsi="Constantia"/>
        </w:rPr>
      </w:pPr>
      <w:r w:rsidRPr="00C72A69">
        <w:rPr>
          <w:rFonts w:ascii="Constantia" w:hAnsi="Constantia"/>
        </w:rPr>
        <w:t>19. Комиссия имеет бланк со своим наименованием</w:t>
      </w:r>
      <w:r>
        <w:rPr>
          <w:rFonts w:ascii="Constantia" w:hAnsi="Constantia"/>
        </w:rPr>
        <w:t>.</w:t>
      </w:r>
      <w:bookmarkStart w:id="0" w:name="_GoBack"/>
      <w:bookmarkEnd w:id="0"/>
    </w:p>
    <w:p w:rsidR="00247FE2" w:rsidRPr="00C72A69" w:rsidRDefault="00247FE2" w:rsidP="00C72A69">
      <w:pPr>
        <w:jc w:val="both"/>
        <w:rPr>
          <w:rFonts w:ascii="Constantia" w:hAnsi="Constantia"/>
        </w:rPr>
      </w:pPr>
    </w:p>
    <w:sectPr w:rsidR="00247FE2" w:rsidRPr="00C7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B"/>
    <w:rsid w:val="00247FE2"/>
    <w:rsid w:val="00C72A69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1554</Words>
  <Characters>8861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2014-05-31T10:07:00Z</dcterms:created>
  <dcterms:modified xsi:type="dcterms:W3CDTF">2014-05-31T10:09:00Z</dcterms:modified>
</cp:coreProperties>
</file>